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rPr>
          <w:rFonts w:ascii="Times New Roman" w:eastAsia="方正黑体_GBK" w:cs="Times New Roman" w:hAnsi="Times New Roman"/>
          <w:snapToGrid w:val="0"/>
          <w:sz w:val="32"/>
          <w:szCs w:val="32"/>
        </w:rPr>
      </w:pPr>
      <w:bookmarkStart w:id="0" w:name="_GoBack"/>
      <w:bookmarkEnd w:id="0"/>
      <w:r>
        <w:rPr>
          <w:rFonts w:ascii="Times New Roman" w:eastAsia="方正黑体_GBK" w:cs="Times New Roman" w:hAnsi="Times New Roman"/>
          <w:snapToGrid w:val="0"/>
          <w:sz w:val="32"/>
          <w:szCs w:val="32"/>
        </w:rPr>
        <w:t>Annex 2</w:t>
      </w:r>
    </w:p>
    <w:p>
      <w:pPr>
        <w:jc w:val="center"/>
        <w:rPr>
          <w:rFonts w:ascii="方正小标宋_GBK" w:eastAsia="方正小标宋_GBK" w:cs="Times New Roman"/>
          <w:snapToGrid w:val="0"/>
          <w:sz w:val="44"/>
          <w:szCs w:val="44"/>
        </w:rPr>
      </w:pPr>
    </w:p>
    <w:p>
      <w:pPr>
        <w:jc w:val="center"/>
        <w:rPr>
          <w:rFonts w:ascii="Times New Roman" w:eastAsia="宋体" w:cs="Times New Roman" w:hAnsi="Times New Roman"/>
          <w:b/>
          <w:bCs/>
          <w:snapToGrid w:val="0"/>
          <w:sz w:val="44"/>
          <w:szCs w:val="44"/>
        </w:rPr>
      </w:pPr>
      <w:r>
        <w:rPr>
          <w:rFonts w:ascii="Times New Roman" w:eastAsia="宋体" w:cs="Times New Roman" w:hAnsi="Times New Roman"/>
          <w:b/>
          <w:bCs/>
          <w:snapToGrid w:val="0"/>
          <w:sz w:val="44"/>
          <w:szCs w:val="44"/>
        </w:rPr>
        <w:t>Facilitation Measures of the Customs for the Second China International Import Expo of 2019</w:t>
      </w:r>
    </w:p>
    <w:p>
      <w:pPr>
        <w:pStyle w:val="17"/>
        <w:ind w:firstLineChars="0" w:firstLine="0"/>
        <w:rPr>
          <w:rFonts w:ascii="Times New Roman" w:eastAsia="宋体" w:cs="Times New Roman" w:hAnsi="Times New Roman"/>
          <w:snapToGrid w:val="0"/>
          <w:sz w:val="44"/>
          <w:szCs w:val="44"/>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 To Issue Customs Clearance Notice and Provide Guidelines on Customs Clearance.</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GACC develops and publishes the Customs Clearance Notice for the Second China International Import Expo of 2019, the Restriction List for Inspection and Quarantine during the Second China International Import Expo of 2019 and the Prohibition List for Inspection and Quarantine during the Second China International Import Expo of 2019 in order to provide detailed guidelines for overseas exhibitors.</w:t>
      </w:r>
    </w:p>
    <w:p>
      <w:pPr>
        <w:ind w:firstLineChars="200" w:firstLine="640"/>
        <w:rPr>
          <w:rFonts w:ascii="Times New Roman" w:eastAsia="宋体" w:cs="Times New Roman" w:hAnsi="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II. To Coordinate Supervision Resources and Set Up Specialized Agencies.</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GACC coordinates the supervision resources of Shanghai Customs for international exhibitions and specially sets up the Shanghai Customs for NECC for the supervision of the CIIE.</w:t>
      </w:r>
    </w:p>
    <w:p>
      <w:pPr>
        <w:ind w:firstLineChars="200" w:firstLine="640"/>
        <w:rPr>
          <w:rFonts w:ascii="Times New Roman" w:eastAsia="宋体" w:cs="Times New Roman" w:hAnsi="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III. To Introduce Big Data Concept and Create a New Mode of Intelligent Supervision.</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GACC implements the supervision for exhibitors and exhibits information in the CIIE during the whole process through the big data platform for cross-border trade management, and creates a new digital, intelligent, convenient and intensive model for full supervision in the CIIE.</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IV. To Dispatch Personnel to the Site and Provide Consulting Services.</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During the import expo, the Customs will send staff to the comprehensive service area of the National Exhibition and Convention Center (Shanghai) to provide relevant consulting services.</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 The Organizer Will Furnish General Security to Reduce the Burden on Overseas Exhibitors.</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The National Exhibition and Convention Center (Shanghai) Co., Ltd. will provide the guarantee for duty and tax payable and present Shanghai Customs with the bank guarantee for the temporary exhibits at the import expo. Overseas exhibitor or its entrusted home-field transportation service provider submits to the customs with the </w:t>
      </w:r>
      <w:r>
        <w:rPr>
          <w:rFonts w:ascii="Times New Roman" w:eastAsia="宋体" w:cs="Times New Roman" w:hAnsi="Times New Roman"/>
          <w:i/>
          <w:iCs/>
          <w:snapToGrid w:val="0"/>
          <w:sz w:val="32"/>
          <w:szCs w:val="32"/>
        </w:rPr>
        <w:t>Certification for Import Goods for the Second China International Import Expo of 2019</w:t>
      </w:r>
      <w:r>
        <w:rPr>
          <w:rFonts w:ascii="Times New Roman" w:eastAsia="宋体" w:cs="Times New Roman" w:hAnsi="Times New Roman"/>
          <w:snapToGrid w:val="0"/>
          <w:sz w:val="32"/>
          <w:szCs w:val="32"/>
        </w:rPr>
        <w:t xml:space="preserve"> and </w:t>
      </w:r>
      <w:r>
        <w:rPr>
          <w:rFonts w:ascii="Times New Roman" w:eastAsia="宋体" w:cs="Times New Roman" w:hAnsi="Times New Roman"/>
          <w:i/>
          <w:iCs/>
          <w:snapToGrid w:val="0"/>
          <w:sz w:val="32"/>
          <w:szCs w:val="32"/>
        </w:rPr>
        <w:t>the List of Import Goods for the Second China International Import Expo of 2019</w:t>
      </w:r>
      <w:r>
        <w:rPr>
          <w:rFonts w:ascii="Times New Roman" w:eastAsia="宋体" w:cs="Times New Roman" w:hAnsi="Times New Roman"/>
          <w:snapToGrid w:val="0"/>
          <w:sz w:val="32"/>
          <w:szCs w:val="32"/>
        </w:rPr>
        <w:t xml:space="preserve"> issued by the NECC, instead of guarantee for each transaction.</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 To Conduct Examination and Approval in the Nearest Customs for Better Facilitation.</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For the inbound animals and plants and related products that require administrative approval items involving inspection and quarantine, Shanghai Customs and related Customs are authorized to handle formalities in the nearest locality. In accordance with the principle of “facilitation and operability”, Shanghai Customs is authorized to exercise the power of acceptance and examination on the overseas production enterprises of the imported aquatic products, dairy products and cubilose sold in the exhibition area, which are exempted from overseas on-site examination. After the examination, the General Administration of Customs issues temporary registration documents (temporary registration documents are only used in the exhibition area during the exhibition).</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VII. To Set Up a Special Channel to Give Priority for the Handling of Formalities.</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VIP channels, special channels and windows for inbound exhibits will be set up at the major ports for the import expo. Priority will be given to the handling of customs procedures such as declaration, inspection, sampling and testing, and release upon the completion of inspection will be conducted.</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VIII. To Consolidate Supervision Measures and Extend the Temporary Entry Period of the Exhibits Under the ATA Carnet.</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useful experience of the supervision on the second China International Import Expo of 2018 will be consolidated and promoted. The re-exportation period of the temporary entry of exhibits under the ATA Carnet shall be the same as the period of validity of the carnet.</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IX. To Promote Access Negotiations and Expand the Categories of Imported Exhibits.</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Quarantine access negotiations with participating countries or regions will be promoted, the progress of risk assessment sped up, support provided for the participation of agricultural and livestock products with acceptable risk levels to realize the trade with China, and expand the categories of imported exhibits.</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 To Simplify the Verification Procedures to Facilitate the Entry of Special Articles.</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special articles (biological products) for self-use and only for prevention or treatment of diseases brought by participants in the import expo will be released with a doctor's prescription or hospital’s relevant certificates. The allowable amount is limited to that for one course of treatment according to the prescription or instruction. Entry special articles (biological products) for the expo will be reviewed by Shanghai Customs as the product information is automatically checked in the special article review system. If the application materials meet the requirements, the time limit for examination and approval is reduced to 3 working days instead of 20 working days. Shanghai Customs is authorized to carry out licensing examination and approval for imported food and Chinese medicinal materials for the CIIE. The time limit for examination and approval is reduced to 3 working days instead of 20 working days.</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XI. To Simplify Quarantine Procedures to Facilitate the Release of Companion Animals.</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During the import expo, participants can each bring one companion animal (a dog or a cat) into the country. The animals from non-rabies countries or regions with the bill of health, vaccination certificate and electronic chip can be directly released without isolation and quarantine by the customs upon on-site quarantine inspection. If there is no vaccination certificate, the carrier may submit the application and the customs may release the animal after inoculated. The animals from rabies-prevalent countries or regions with the bill of health, vaccination certificate, electronic chip, and the rabies antibody test report (with a titer greater than 0.5 IU/ml) issued by the lab accredited by World Organization for Animal Health can be directly released without isolation and quarantine by the customs upon on-site quarantine inspection.</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XII. To Simplify the Export Procedures and Facilitate the Disposal of Exhibits After the Expo.</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After the import expo, temporarily imported exhibits (excluding temporary import under the ATA Carnet) being transported into the customs special control area and bonded supervision site (exhibited autos shall be transported into the customs special control area and bonded supervision site entitled of bonded warehousing business), the temporary import declaration shall be reconciled subsequent to relevant customs formalities.</w:t>
      </w:r>
    </w:p>
    <w:p>
      <w:pPr>
        <w:ind w:firstLineChars="200" w:firstLine="640"/>
        <w:rPr>
          <w:rFonts w:ascii="方正黑体_GBK" w:eastAsia="方正黑体_GBK" w:cs="Times New Roman"/>
          <w:snapToGrid w:val="0"/>
          <w:sz w:val="32"/>
          <w:szCs w:val="32"/>
        </w:rPr>
      </w:pP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XIII. To Support Permanent Bonded Exhibition and Trade, and Expand the Spillover Effect of the CIIE.</w:t>
      </w:r>
    </w:p>
    <w:p>
      <w:pPr>
        <w:ind w:firstLineChars="200" w:firstLine="640"/>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enterprises registered in the customs special control area or bonded logistics center (Type B) (hereinafter referred to as the “Area or Center”) can transfer the bonded cargoes to the permanent halls of the CIIE, other than the Area or Center, for exhibition and trade after the guarantee for such bonded cargoes is submitted.</w:t>
      </w:r>
    </w:p>
    <w:p>
      <w:pPr>
        <w:ind w:firstLineChars="200" w:firstLine="640"/>
        <w:rPr>
          <w:rFonts w:ascii="Times New Roman" w:eastAsia="宋体" w:cs="Times New Roman" w:hAnsi="Times New Roman"/>
          <w:snapToGrid w:val="0"/>
          <w:sz w:val="32"/>
          <w:szCs w:val="32"/>
        </w:rPr>
      </w:pPr>
    </w:p>
    <w:p>
      <w:pPr>
        <w:ind w:firstLineChars="200" w:firstLine="640"/>
        <w:rPr>
          <w:rFonts w:ascii="Times New Roman" w:eastAsia="宋体" w:cs="Times New Roman" w:hAnsi="Times New Roman"/>
          <w:snapToGrid w:val="0"/>
          <w:sz w:val="32"/>
          <w:szCs w:val="32"/>
        </w:rPr>
      </w:pPr>
    </w:p>
    <w:p>
      <w:pPr>
        <w:ind w:firstLineChars="200" w:firstLine="640"/>
        <w:rPr>
          <w:rFonts w:ascii="Times New Roman" w:eastAsia="宋体" w:cs="Times New Roman" w:hAnsi="Times New Roman"/>
          <w:snapToGrid w:val="0"/>
          <w:sz w:val="32"/>
          <w:szCs w:val="32"/>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19"/>
        <w:rFonts w:cs="Times New Roman"/>
      </w:rPr>
    </w:pPr>
    <w:r>
      <w:rPr>
        <w:rStyle w:val="19"/>
      </w:rPr>
      <w:fldChar w:fldCharType="begin"/>
    </w:r>
    <w:r>
      <w:rPr>
        <w:rStyle w:val="19"/>
      </w:rPr>
      <w:instrText xml:space="preserve">PAGE  </w:instrText>
    </w:r>
    <w:r>
      <w:rPr>
        <w:rStyle w:val="19"/>
      </w:rPr>
      <w:fldChar w:fldCharType="separate"/>
    </w:r>
    <w:r>
      <w:rPr>
        <w:rStyle w:val="19"/>
      </w:rPr>
      <w:t>7</w:t>
    </w:r>
    <w:r>
      <w:rPr>
        <w:rStyle w:val="19"/>
      </w:rPr>
      <w:fldChar w:fldCharType="end"/>
    </w:r>
  </w:p>
  <w:p>
    <w:pPr>
      <w:pStyle w:val="16"/>
      <w:tabs>
        <w:tab w:val="center" w:pos="4153"/>
        <w:tab w:val="right" w:pos="8306"/>
      </w:tabs>
      <w:rPr>
        <w:rFonts w:cs="Times New Roma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等线"/>
      <w:kern w:val="2"/>
      <w:sz w:val="21"/>
      <w:szCs w:val="21"/>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List Paragraph"/>
    <w:basedOn w:val="0"/>
    <w:pPr>
      <w:ind w:firstLineChars="200" w:firstLine="200"/>
    </w:pPr>
  </w:style>
  <w:style w:type="paragraph" w:styleId="18">
    <w:name w:val="Balloon Text"/>
    <w:basedOn w:val="0"/>
    <w:rPr>
      <w:sz w:val="18"/>
      <w:szCs w:val="18"/>
    </w:rPr>
  </w:style>
  <w:style w:type="character" w:styleId="19">
    <w:name w:val="page number"/>
    <w:basedOn w:val="10"/>
  </w:style>
  <w:style w:type="paragraph" w:customStyle="1" w:styleId="20">
    <w:name w:val="样式 10 磅"/>
    <w:pPr>
      <w:widowControl w:val="0"/>
      <w:jc w:val="both"/>
    </w:pPr>
    <w:rPr>
      <w:rFonts w:ascii="等线" w:eastAsia="等线" w:cs="等线"/>
      <w:kern w:val="2"/>
      <w:sz w:val="21"/>
      <w:szCs w:val="21"/>
      <w:lang w:val="en-US" w:eastAsia="zh-CN" w:bidi="ar-SA"/>
    </w:rPr>
  </w:style>
  <w:style w:type="paragraph" w:customStyle="1" w:styleId="21">
    <w:name w:val="样式 1 10 磅"/>
    <w:pPr>
      <w:widowControl w:val="0"/>
      <w:jc w:val="both"/>
    </w:pPr>
    <w:rPr>
      <w:rFonts w:ascii="等线" w:eastAsia="等线" w:cs="等线"/>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319</TotalTime>
  <Application>Yozo_Office</Application>
  <Pages>7</Pages>
  <Words>1059</Words>
  <Characters>5994</Characters>
  <Lines>149</Lines>
  <Paragraphs>28</Paragraphs>
  <CharactersWithSpaces>7023</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necc_xxh_015@outlook.com</dc:creator>
  <cp:lastModifiedBy>刘学清</cp:lastModifiedBy>
  <cp:revision>474</cp:revision>
  <dcterms:created xsi:type="dcterms:W3CDTF">2019-07-13T03:16:00Z</dcterms:created>
  <dcterms:modified xsi:type="dcterms:W3CDTF">2019-07-25T02:50:43Z</dcterms:modified>
</cp:coreProperties>
</file>